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F28D3" w14:textId="77777777" w:rsidR="00BB3894" w:rsidRDefault="00BB3894" w:rsidP="00BB3894">
      <w:pPr>
        <w:spacing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en-GB"/>
        </w:rPr>
      </w:pPr>
      <w:r w:rsidRPr="00BB3894">
        <w:rPr>
          <w:rFonts w:ascii="Times New Roman" w:eastAsia="Times New Roman" w:hAnsi="Times New Roman" w:cs="Times New Roman"/>
          <w:b/>
          <w:bCs/>
          <w:kern w:val="36"/>
          <w:lang w:eastAsia="en-GB"/>
        </w:rPr>
        <w:t>“We Are Living Through a Rupture”</w:t>
      </w:r>
    </w:p>
    <w:p w14:paraId="6AA78A85" w14:textId="77777777" w:rsidR="00BB3894" w:rsidRPr="00BB3894" w:rsidRDefault="00BB3894" w:rsidP="00BB3894">
      <w:pPr>
        <w:spacing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en-GB"/>
        </w:rPr>
      </w:pPr>
    </w:p>
    <w:p w14:paraId="209DF854" w14:textId="77777777" w:rsidR="00BB3894" w:rsidRDefault="00BB3894" w:rsidP="00BB3894">
      <w:pPr>
        <w:spacing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en-GB"/>
        </w:rPr>
      </w:pPr>
      <w:r w:rsidRPr="00BB3894">
        <w:rPr>
          <w:rFonts w:ascii="Times New Roman" w:eastAsia="Times New Roman" w:hAnsi="Times New Roman" w:cs="Times New Roman"/>
          <w:b/>
          <w:bCs/>
          <w:lang w:eastAsia="en-GB"/>
        </w:rPr>
        <w:t>Tina Fordham warns at Future of Governance 2026 that geopolitics is redefining leadership, markets and the global operating system</w:t>
      </w:r>
    </w:p>
    <w:p w14:paraId="3A4C38DB" w14:textId="77777777" w:rsidR="00BB3894" w:rsidRPr="00BB3894" w:rsidRDefault="00BB3894" w:rsidP="00BB3894">
      <w:pPr>
        <w:spacing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674C618A" w14:textId="77777777" w:rsid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Speaking at the opening of the Future of Governance International Conference 2026 in Bucharest, geopolitical strategist Tina Fordham described today’s global environment not as a period of temporary instability, but as a structural rupture reshaping the foundations of business, governance and international relations.</w:t>
      </w:r>
    </w:p>
    <w:p w14:paraId="14E37620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7846DFB8" w14:textId="77777777" w:rsid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 xml:space="preserve">The conference, organized by </w:t>
      </w:r>
      <w:hyperlink r:id="rId4" w:history="1">
        <w:r w:rsidRPr="00BB3894">
          <w:rPr>
            <w:rFonts w:ascii="Times New Roman" w:eastAsia="Times New Roman" w:hAnsi="Times New Roman" w:cs="Times New Roman"/>
            <w:u w:val="single"/>
            <w:lang w:eastAsia="en-GB"/>
          </w:rPr>
          <w:t>Envisia – Boards of Elite</w:t>
        </w:r>
      </w:hyperlink>
      <w:r w:rsidRPr="00BB3894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B3894">
        <w:rPr>
          <w:rFonts w:ascii="Times New Roman" w:eastAsia="Times New Roman" w:hAnsi="Times New Roman" w:cs="Times New Roman"/>
          <w:lang w:eastAsia="en-GB"/>
        </w:rPr>
        <w:instrText xml:space="preserve"> INCLUDEPICTURE "/Attachment.tiff" \* MERGEFORMATINET </w:instrText>
      </w:r>
      <w:r w:rsidRPr="00BB3894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B3894">
        <w:rPr>
          <w:rFonts w:ascii="Times New Roman" w:eastAsia="Times New Roman" w:hAnsi="Times New Roman" w:cs="Times New Roman"/>
          <w:lang w:eastAsia="en-GB"/>
        </w:rPr>
        <w:fldChar w:fldCharType="end"/>
      </w:r>
      <w:r w:rsidRPr="00BB3894">
        <w:rPr>
          <w:rFonts w:ascii="Times New Roman" w:eastAsia="Times New Roman" w:hAnsi="Times New Roman" w:cs="Times New Roman"/>
          <w:lang w:eastAsia="en-GB"/>
        </w:rPr>
        <w:t xml:space="preserve"> under the theme </w:t>
      </w:r>
      <w:r w:rsidRPr="00BB3894">
        <w:rPr>
          <w:rFonts w:ascii="Times New Roman" w:eastAsia="Times New Roman" w:hAnsi="Times New Roman" w:cs="Times New Roman"/>
          <w:i/>
          <w:iCs/>
          <w:lang w:eastAsia="en-GB"/>
        </w:rPr>
        <w:t>The Great Governance Reset</w:t>
      </w:r>
      <w:r w:rsidRPr="00BB3894">
        <w:rPr>
          <w:rFonts w:ascii="Times New Roman" w:eastAsia="Times New Roman" w:hAnsi="Times New Roman" w:cs="Times New Roman"/>
          <w:lang w:eastAsia="en-GB"/>
        </w:rPr>
        <w:t>, gathered international board members, policymakers, business leaders and governance experts to discuss the growing pressure placed on leadership institutions worldwide.</w:t>
      </w:r>
    </w:p>
    <w:p w14:paraId="6BAA55B2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520187F5" w14:textId="0ED641B5" w:rsid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hyperlink r:id="rId5" w:history="1">
        <w:r w:rsidRPr="00BB3894">
          <w:rPr>
            <w:rStyle w:val="Hyperlink"/>
            <w:rFonts w:ascii="Times New Roman" w:eastAsia="Times New Roman" w:hAnsi="Times New Roman" w:cs="Times New Roman"/>
            <w:lang w:eastAsia="en-GB"/>
          </w:rPr>
          <w:t>Fordham</w:t>
        </w:r>
      </w:hyperlink>
      <w:r>
        <w:rPr>
          <w:rFonts w:ascii="Times New Roman" w:eastAsia="Times New Roman" w:hAnsi="Times New Roman" w:cs="Times New Roman"/>
          <w:lang w:eastAsia="en-GB"/>
        </w:rPr>
        <w:t xml:space="preserve">, </w:t>
      </w:r>
      <w:r w:rsidRPr="00BB3894">
        <w:rPr>
          <w:rFonts w:ascii="Times New Roman" w:eastAsia="Times New Roman" w:hAnsi="Times New Roman" w:cs="Times New Roman"/>
          <w:lang w:eastAsia="en-GB"/>
        </w:rPr>
        <w:t>former Chief Global Political Analyst at Citi and advisor to governments, multinational corporations and international organizations</w:t>
      </w:r>
      <w:r>
        <w:rPr>
          <w:rFonts w:ascii="Times New Roman" w:eastAsia="Times New Roman" w:hAnsi="Times New Roman" w:cs="Times New Roman"/>
          <w:lang w:eastAsia="en-GB"/>
        </w:rPr>
        <w:t>,</w:t>
      </w:r>
      <w:r w:rsidRPr="00BB3894">
        <w:rPr>
          <w:rFonts w:ascii="Times New Roman" w:eastAsia="Times New Roman" w:hAnsi="Times New Roman" w:cs="Times New Roman"/>
          <w:lang w:eastAsia="en-GB"/>
        </w:rPr>
        <w:t xml:space="preserve"> argued that the assumptions underpinning the post-Cold War economic order are progressively collapsing.</w:t>
      </w:r>
    </w:p>
    <w:p w14:paraId="340A0522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1FC9B46C" w14:textId="77777777" w:rsid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“The world many leaders are waiting to return to no longer exists,” she said. “And organizations that continue to operate under those assumptions risk strategic irrelevance.”  </w:t>
      </w:r>
    </w:p>
    <w:p w14:paraId="16F461E6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181B54B9" w14:textId="77777777" w:rsidR="00BB3894" w:rsidRPr="00BB3894" w:rsidRDefault="00BB3894" w:rsidP="00BB3894">
      <w:pPr>
        <w:spacing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en-GB"/>
        </w:rPr>
      </w:pPr>
      <w:r w:rsidRPr="00BB3894">
        <w:rPr>
          <w:rFonts w:ascii="Times New Roman" w:eastAsia="Times New Roman" w:hAnsi="Times New Roman" w:cs="Times New Roman"/>
          <w:b/>
          <w:bCs/>
          <w:lang w:eastAsia="en-GB"/>
        </w:rPr>
        <w:t>Geopolitics Moves to the Center of Corporate Strategy</w:t>
      </w:r>
    </w:p>
    <w:p w14:paraId="6B8E0D9A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A key theme of Fordham’s keynote was the accelerated integration of geopolitics into core business decision-making.</w:t>
      </w:r>
    </w:p>
    <w:p w14:paraId="43ACC954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For decades, geopolitical risk was largely associated with emerging markets or conflict zones. Today, however, developed-market executives are increasingly confronted with instability driven by trade disputes, strategic competition, technological dependencies and institutional fragmentation.</w:t>
      </w:r>
    </w:p>
    <w:p w14:paraId="56B46312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Fordham cited research showing a dramatic increase in geopolitical risk events over the past decade, alongside weakening institutional mechanisms capable of mitigating systemic shocks.  </w:t>
      </w:r>
    </w:p>
    <w:p w14:paraId="61499549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 xml:space="preserve">This dynamic forms what she calls the </w:t>
      </w:r>
      <w:r w:rsidRPr="00BB3894">
        <w:rPr>
          <w:rFonts w:ascii="Times New Roman" w:eastAsia="Times New Roman" w:hAnsi="Times New Roman" w:cs="Times New Roman"/>
          <w:b/>
          <w:bCs/>
          <w:lang w:eastAsia="en-GB"/>
        </w:rPr>
        <w:t>“Geopolitical Supercycle”</w:t>
      </w:r>
      <w:r w:rsidRPr="00BB3894">
        <w:rPr>
          <w:rFonts w:ascii="Times New Roman" w:eastAsia="Times New Roman" w:hAnsi="Times New Roman" w:cs="Times New Roman"/>
          <w:lang w:eastAsia="en-GB"/>
        </w:rPr>
        <w:t xml:space="preserve"> — an era in which geopolitical tensions become a permanent feature of the global operating environment rather than a temporary disruption.</w:t>
      </w:r>
    </w:p>
    <w:p w14:paraId="5EF0F300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“Volatility is not interrupting the system. Volatility is the system.”</w:t>
      </w:r>
    </w:p>
    <w:p w14:paraId="5CA72CE7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According to Fordham, this reality is forcing organizations to rethink not only risk management, but also the assumptions behind globalization itself.</w:t>
      </w:r>
    </w:p>
    <w:p w14:paraId="147274F5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05FDA915" w14:textId="77777777" w:rsidR="00BB3894" w:rsidRPr="00BB3894" w:rsidRDefault="00BB3894" w:rsidP="00BB3894">
      <w:pPr>
        <w:spacing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en-GB"/>
        </w:rPr>
      </w:pPr>
      <w:r w:rsidRPr="00BB3894">
        <w:rPr>
          <w:rFonts w:ascii="Times New Roman" w:eastAsia="Times New Roman" w:hAnsi="Times New Roman" w:cs="Times New Roman"/>
          <w:b/>
          <w:bCs/>
          <w:lang w:eastAsia="en-GB"/>
        </w:rPr>
        <w:t>Sovereignty, Autonomy and the New Strategic Logic</w:t>
      </w:r>
    </w:p>
    <w:p w14:paraId="6F4C4871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Fordham pointed to the growing importance of concepts such as sovereignty, strategic autonomy and resilience in both government policy and corporate strategy.</w:t>
      </w:r>
    </w:p>
    <w:p w14:paraId="5C8411A2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What initially emerged as efforts to reduce dependency on China has evolved into a broader movement aimed at reducing systemic dependency altogether — including dependence on the United States.</w:t>
      </w:r>
    </w:p>
    <w:p w14:paraId="51A553FC" w14:textId="77777777" w:rsid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lastRenderedPageBreak/>
        <w:t>She referenced the European Union’s increasing focus on digital sovereignty, strategic infrastructure and independent technological capabilities as evidence of this shift.  “The logic of hyper-globalization is being replaced by the logic of resilience,” Fordham argued. This transition is already visible through shorter and more regionalized supply chains, increased strategic stockpiling, critical infrastructure investment, and a growing emphasis on trusted operational ecosystems.</w:t>
      </w:r>
    </w:p>
    <w:p w14:paraId="4D0CC132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4E93C61C" w14:textId="77777777" w:rsidR="00BB3894" w:rsidRPr="00BB3894" w:rsidRDefault="00BB3894" w:rsidP="00BB3894">
      <w:pPr>
        <w:spacing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en-GB"/>
        </w:rPr>
      </w:pPr>
      <w:r w:rsidRPr="00BB3894">
        <w:rPr>
          <w:rFonts w:ascii="Times New Roman" w:eastAsia="Times New Roman" w:hAnsi="Times New Roman" w:cs="Times New Roman"/>
          <w:b/>
          <w:bCs/>
          <w:lang w:eastAsia="en-GB"/>
        </w:rPr>
        <w:t>Europe’s Window of Opportunity</w:t>
      </w:r>
    </w:p>
    <w:p w14:paraId="1623F8AA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While much of the keynote focused on rising instability, Fordham also argued that Europe may hold a strategic advantage in the years ahead. In a fragmented world marked by declining trust and systemic uncertainty, institutional stability and predictability may become increasingly valuable geopolitical assets.</w:t>
      </w:r>
    </w:p>
    <w:p w14:paraId="7D075916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“Stability could become Europe’s superpower.”</w:t>
      </w:r>
    </w:p>
    <w:p w14:paraId="1DF19E33" w14:textId="77777777" w:rsid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This message resonated strongly in Bucharest, particularly as Central and Eastern Europe increasingly positions itself within newly emerging trade, security and supply-chain configurations.</w:t>
      </w:r>
    </w:p>
    <w:p w14:paraId="62151599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594ED215" w14:textId="77777777" w:rsidR="00BB3894" w:rsidRPr="00BB3894" w:rsidRDefault="00BB3894" w:rsidP="00BB3894">
      <w:pPr>
        <w:spacing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en-GB"/>
        </w:rPr>
      </w:pPr>
      <w:r w:rsidRPr="00BB3894">
        <w:rPr>
          <w:rFonts w:ascii="Times New Roman" w:eastAsia="Times New Roman" w:hAnsi="Times New Roman" w:cs="Times New Roman"/>
          <w:b/>
          <w:bCs/>
          <w:lang w:eastAsia="en-GB"/>
        </w:rPr>
        <w:t>Leadership Beyond the Illusion of Certainty</w:t>
      </w:r>
    </w:p>
    <w:p w14:paraId="3FDE5B60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Fordham concluded by emphasizing that the leadership models of the past are no longer sufficient for navigating today’s geopolitical environment.</w:t>
      </w:r>
    </w:p>
    <w:p w14:paraId="5064535B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 xml:space="preserve">She introduced the idea of </w:t>
      </w:r>
      <w:r w:rsidRPr="00BB3894">
        <w:rPr>
          <w:rFonts w:ascii="Times New Roman" w:eastAsia="Times New Roman" w:hAnsi="Times New Roman" w:cs="Times New Roman"/>
          <w:b/>
          <w:bCs/>
          <w:lang w:eastAsia="en-GB"/>
        </w:rPr>
        <w:t>Political Quotient (PQ)</w:t>
      </w:r>
      <w:r w:rsidRPr="00BB3894">
        <w:rPr>
          <w:rFonts w:ascii="Times New Roman" w:eastAsia="Times New Roman" w:hAnsi="Times New Roman" w:cs="Times New Roman"/>
          <w:lang w:eastAsia="en-GB"/>
        </w:rPr>
        <w:t xml:space="preserve"> — the capacity of leaders to understand how geopolitics, public sentiment, institutional trust and political legitimacy shape economic outcomes.</w:t>
      </w:r>
    </w:p>
    <w:p w14:paraId="33DEAFF6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She also warned against the tendency of organizations to dismiss “unlikely” scenarios, noting that many geopolitical developments previously considered implausible have materialized with surprising speed over the past decade.</w:t>
      </w:r>
    </w:p>
    <w:p w14:paraId="01114B69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Near the end of her keynote, Fordham referenced a word recently used by Mark Carney at Davos: “Rupture.”</w:t>
      </w:r>
    </w:p>
    <w:p w14:paraId="2BC7E86E" w14:textId="77777777" w:rsid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Not transition.</w:t>
      </w:r>
    </w:p>
    <w:p w14:paraId="0F86A2DC" w14:textId="2F2C7EEE" w:rsid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Not recalibration.</w:t>
      </w:r>
    </w:p>
    <w:p w14:paraId="13FD60E1" w14:textId="2B13E6DB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i/>
          <w:iCs/>
          <w:color w:val="EE0000"/>
          <w:lang w:eastAsia="en-GB"/>
        </w:rPr>
      </w:pPr>
      <w:r w:rsidRPr="00BB3894">
        <w:rPr>
          <w:rFonts w:ascii="Times New Roman" w:eastAsia="Times New Roman" w:hAnsi="Times New Roman" w:cs="Times New Roman"/>
          <w:i/>
          <w:iCs/>
          <w:color w:val="EE0000"/>
          <w:lang w:eastAsia="en-GB"/>
        </w:rPr>
        <w:t>Rupture</w:t>
      </w:r>
      <w:r>
        <w:rPr>
          <w:rFonts w:ascii="Times New Roman" w:eastAsia="Times New Roman" w:hAnsi="Times New Roman" w:cs="Times New Roman"/>
          <w:i/>
          <w:iCs/>
          <w:color w:val="EE0000"/>
          <w:lang w:eastAsia="en-GB"/>
        </w:rPr>
        <w:t>.</w:t>
      </w:r>
    </w:p>
    <w:p w14:paraId="43CFEA6B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3B228FBD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>“If this is truly a rupture,” she concluded, “then leadership cannot be built around nostalgia for a previous system. It must be built around the capacity to navigate the one now emerging.”</w:t>
      </w:r>
    </w:p>
    <w:p w14:paraId="37F12562" w14:textId="77777777" w:rsidR="00BB3894" w:rsidRPr="00BB3894" w:rsidRDefault="00BB3894" w:rsidP="00BB3894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BB3894">
        <w:rPr>
          <w:rFonts w:ascii="Times New Roman" w:eastAsia="Times New Roman" w:hAnsi="Times New Roman" w:cs="Times New Roman"/>
          <w:lang w:eastAsia="en-GB"/>
        </w:rPr>
        <w:t xml:space="preserve">The conference forms part of </w:t>
      </w:r>
      <w:hyperlink r:id="rId6" w:history="1">
        <w:r w:rsidRPr="00BB3894">
          <w:rPr>
            <w:rFonts w:ascii="Times New Roman" w:eastAsia="Times New Roman" w:hAnsi="Times New Roman" w:cs="Times New Roman"/>
            <w:u w:val="single"/>
            <w:lang w:eastAsia="en-GB"/>
          </w:rPr>
          <w:t>Envisia – Boards of Elite’s</w:t>
        </w:r>
      </w:hyperlink>
      <w:r w:rsidRPr="00BB3894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B3894">
        <w:rPr>
          <w:rFonts w:ascii="Times New Roman" w:eastAsia="Times New Roman" w:hAnsi="Times New Roman" w:cs="Times New Roman"/>
          <w:lang w:eastAsia="en-GB"/>
        </w:rPr>
        <w:instrText xml:space="preserve"> INCLUDEPICTURE "/Attachment.tiff" \* MERGEFORMATINET </w:instrText>
      </w:r>
      <w:r w:rsidRPr="00BB3894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B3894">
        <w:rPr>
          <w:rFonts w:ascii="Times New Roman" w:eastAsia="Times New Roman" w:hAnsi="Times New Roman" w:cs="Times New Roman"/>
          <w:lang w:eastAsia="en-GB"/>
        </w:rPr>
        <w:fldChar w:fldCharType="end"/>
      </w:r>
      <w:r w:rsidRPr="00BB3894">
        <w:rPr>
          <w:rFonts w:ascii="Times New Roman" w:eastAsia="Times New Roman" w:hAnsi="Times New Roman" w:cs="Times New Roman"/>
          <w:lang w:eastAsia="en-GB"/>
        </w:rPr>
        <w:t xml:space="preserve"> broader governance and board leadership ecosystem, which includes </w:t>
      </w:r>
      <w:hyperlink r:id="rId7" w:history="1">
        <w:r w:rsidRPr="00BB3894">
          <w:rPr>
            <w:rStyle w:val="Hyperlink"/>
            <w:rFonts w:ascii="Times New Roman" w:eastAsia="Times New Roman" w:hAnsi="Times New Roman" w:cs="Times New Roman"/>
            <w:lang w:eastAsia="en-GB"/>
          </w:rPr>
          <w:t>executive education initiatives</w:t>
        </w:r>
      </w:hyperlink>
      <w:r w:rsidRPr="00BB3894">
        <w:rPr>
          <w:rFonts w:ascii="Times New Roman" w:eastAsia="Times New Roman" w:hAnsi="Times New Roman" w:cs="Times New Roman"/>
          <w:lang w:eastAsia="en-GB"/>
        </w:rPr>
        <w:t xml:space="preserve">, </w:t>
      </w:r>
      <w:hyperlink r:id="rId8" w:history="1">
        <w:r w:rsidRPr="00BB3894">
          <w:rPr>
            <w:rStyle w:val="Hyperlink"/>
            <w:rFonts w:ascii="Times New Roman" w:eastAsia="Times New Roman" w:hAnsi="Times New Roman" w:cs="Times New Roman"/>
            <w:lang w:eastAsia="en-GB"/>
          </w:rPr>
          <w:t>international governance partnerships</w:t>
        </w:r>
      </w:hyperlink>
      <w:r w:rsidRPr="00BB3894">
        <w:rPr>
          <w:rFonts w:ascii="Times New Roman" w:eastAsia="Times New Roman" w:hAnsi="Times New Roman" w:cs="Times New Roman"/>
          <w:lang w:eastAsia="en-GB"/>
        </w:rPr>
        <w:t xml:space="preserve"> and the </w:t>
      </w:r>
      <w:hyperlink r:id="rId9" w:history="1">
        <w:r w:rsidRPr="00BB3894">
          <w:rPr>
            <w:rStyle w:val="Hyperlink"/>
            <w:rFonts w:ascii="Times New Roman" w:eastAsia="Times New Roman" w:hAnsi="Times New Roman" w:cs="Times New Roman"/>
            <w:lang w:eastAsia="en-GB"/>
          </w:rPr>
          <w:t>Envisia Connect community platform for</w:t>
        </w:r>
      </w:hyperlink>
      <w:r w:rsidRPr="00BB3894">
        <w:rPr>
          <w:rFonts w:ascii="Times New Roman" w:eastAsia="Times New Roman" w:hAnsi="Times New Roman" w:cs="Times New Roman"/>
          <w:lang w:eastAsia="en-GB"/>
        </w:rPr>
        <w:t xml:space="preserve"> board members and senior leaders across the region.</w:t>
      </w:r>
    </w:p>
    <w:p w14:paraId="38BEFC4F" w14:textId="77777777" w:rsidR="00B75079" w:rsidRPr="00BB3894" w:rsidRDefault="00B75079" w:rsidP="00BB3894">
      <w:pPr>
        <w:spacing w:line="276" w:lineRule="auto"/>
        <w:jc w:val="both"/>
        <w:rPr>
          <w:rFonts w:ascii="Times New Roman" w:hAnsi="Times New Roman" w:cs="Times New Roman"/>
        </w:rPr>
      </w:pPr>
    </w:p>
    <w:sectPr w:rsidR="00B75079" w:rsidRPr="00BB38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894"/>
    <w:rsid w:val="001C3BF1"/>
    <w:rsid w:val="004A7085"/>
    <w:rsid w:val="00B75079"/>
    <w:rsid w:val="00BB3894"/>
    <w:rsid w:val="00FC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D834734"/>
  <w15:chartTrackingRefBased/>
  <w15:docId w15:val="{A19EB9A7-DB16-D44C-AFF2-261AD2CA2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894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8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8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89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89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89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894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894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894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894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8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8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8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8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8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8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8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38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8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38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B3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89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B38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3894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B38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3894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B38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8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8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389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38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visia.eu/en/courses/henle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envisia.eu/en/corporate-governance-board-director-cours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nvisia.eu/e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tinafordham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envisia.eu/en" TargetMode="External"/><Relationship Id="rId9" Type="http://schemas.openxmlformats.org/officeDocument/2006/relationships/hyperlink" Target="https://envisiaconnect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805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Negoita</dc:creator>
  <cp:keywords/>
  <dc:description/>
  <cp:lastModifiedBy>Alexandra Negoita</cp:lastModifiedBy>
  <cp:revision>1</cp:revision>
  <dcterms:created xsi:type="dcterms:W3CDTF">2026-05-14T06:36:00Z</dcterms:created>
  <dcterms:modified xsi:type="dcterms:W3CDTF">2026-05-14T06:38:00Z</dcterms:modified>
</cp:coreProperties>
</file>